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76" w:rsidRDefault="00EC4376">
      <w:pPr>
        <w:pStyle w:val="13"/>
        <w:spacing w:line="276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C2C10">
        <w:rPr>
          <w:rFonts w:ascii="Times New Roman" w:hAnsi="Times New Roman"/>
          <w:b/>
          <w:sz w:val="28"/>
          <w:szCs w:val="28"/>
        </w:rPr>
        <w:t xml:space="preserve">Информация по вопросу «О гражданско-патриотическом воспитании и реализации молодежной политики в Ханты-Мансийском автономном округе – Югре, в том числе в ходе образовательного процесса», подготовленная </w:t>
      </w:r>
      <w:r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2222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культуры </w:t>
      </w:r>
    </w:p>
    <w:p w:rsidR="00BD1693" w:rsidRDefault="00222216" w:rsidP="00EC4376">
      <w:pPr>
        <w:pStyle w:val="13"/>
        <w:spacing w:line="276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</w:t>
      </w:r>
      <w:r w:rsidR="00EC43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ского автономного округа – Югры</w:t>
      </w:r>
    </w:p>
    <w:p w:rsidR="00BD1693" w:rsidRDefault="00BD1693">
      <w:pPr>
        <w:pStyle w:val="13"/>
        <w:spacing w:line="276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6EB0">
        <w:rPr>
          <w:rFonts w:ascii="Times New Roman" w:hAnsi="Times New Roman"/>
          <w:bCs/>
          <w:sz w:val="28"/>
          <w:szCs w:val="28"/>
          <w:lang w:eastAsia="ru-RU"/>
        </w:rPr>
        <w:t>Гражданско-патриотическое воспитание</w:t>
      </w:r>
      <w:r w:rsidRPr="004C6EB0">
        <w:rPr>
          <w:rFonts w:ascii="Times New Roman" w:hAnsi="Times New Roman"/>
          <w:sz w:val="28"/>
          <w:szCs w:val="28"/>
          <w:lang w:eastAsia="ru-RU"/>
        </w:rPr>
        <w:t xml:space="preserve"> является одним из приоритетных направлений государственной политики в сфере образования и культуры. Особую значимость данная работа приобретает в регионах </w:t>
      </w:r>
      <w:r w:rsidRPr="004C6EB0">
        <w:rPr>
          <w:rFonts w:ascii="Times New Roman" w:hAnsi="Times New Roman"/>
          <w:sz w:val="28"/>
          <w:szCs w:val="28"/>
          <w:lang w:eastAsia="ru-RU"/>
        </w:rPr>
        <w:br/>
        <w:t xml:space="preserve">с уникальной многонациональной культурой, к которым относится </w:t>
      </w:r>
      <w:r w:rsidRPr="004C6EB0">
        <w:rPr>
          <w:rFonts w:ascii="Times New Roman" w:hAnsi="Times New Roman"/>
          <w:sz w:val="28"/>
          <w:szCs w:val="28"/>
          <w:lang w:eastAsia="ru-RU"/>
        </w:rPr>
        <w:br/>
        <w:t xml:space="preserve">Ханты-Мансийский автономный округ – Югра.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hAnsi="Times New Roman"/>
          <w:bCs/>
          <w:sz w:val="28"/>
          <w:szCs w:val="28"/>
          <w:lang w:eastAsia="ru-RU"/>
        </w:rPr>
        <w:t>Культурное наследие</w:t>
      </w:r>
      <w:r w:rsidRPr="004C6EB0">
        <w:rPr>
          <w:rFonts w:ascii="Times New Roman" w:hAnsi="Times New Roman"/>
          <w:sz w:val="28"/>
          <w:szCs w:val="28"/>
          <w:lang w:eastAsia="ru-RU"/>
        </w:rPr>
        <w:t> Югры представлено традициями коренных малочисленных народов Севера: ханты, манси, ненцев. В регионе действует более 500 учреждений культуры, включая музеи, театры, библиотеки и дома культуры, которые активно участвуют в патриотическом воспитании молодежи.</w:t>
      </w:r>
    </w:p>
    <w:p w:rsidR="00BD1693" w:rsidRPr="004C6EB0" w:rsidRDefault="00222216">
      <w:pPr>
        <w:pStyle w:val="13"/>
        <w:spacing w:line="276" w:lineRule="auto"/>
        <w:ind w:firstLine="708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4C6EB0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направления деятельности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Ключевые направления патриотического воспитания в сфере культуры включают: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историко-культурное просвещение молодежи через организацию выставок, лекций и образовательных программ;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поддержку народных промыслов и традиционных ремесел коренных народов;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поддержку творческих инициатив и культурных проектов</w:t>
      </w:r>
      <w:r w:rsidRPr="004C6EB0">
        <w:rPr>
          <w:rFonts w:ascii="Times New Roman" w:hAnsi="Times New Roman"/>
          <w:sz w:val="28"/>
          <w:szCs w:val="28"/>
        </w:rPr>
        <w:t>;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создание музейных пространств, направленных на сохранение исторической памяти и преемственности поколений.</w:t>
      </w:r>
    </w:p>
    <w:p w:rsidR="00242659" w:rsidRDefault="00242659">
      <w:pPr>
        <w:pStyle w:val="13"/>
        <w:spacing w:line="276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1693" w:rsidRPr="004C6EB0" w:rsidRDefault="00222216">
      <w:pPr>
        <w:pStyle w:val="13"/>
        <w:spacing w:line="276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C6EB0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Реализуемые проекты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Образовательные организации в сфере культуры активно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внедряют программы воспитания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, которые базируются на принципах патриотизма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>и гражданственности, такие как: «Это нужно живым», «Диалог культур», Пасхальные хоровые ассамблеи и «Знаменские чтения», ежегодно объединяющие более двух тысяч юных участников.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В Сургутском колледже русской культуры действует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программа «Народные традиции»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, которая знакомит студентов с русским фольклором, обрядами и праздниками, способствуя формированию российской идентичности и глубокому пониманию исторических традиций.</w:t>
      </w:r>
      <w:r w:rsidRPr="004C6EB0">
        <w:rPr>
          <w:rFonts w:ascii="Times New Roman" w:eastAsia="Times New Roman" w:hAnsi="Times New Roman"/>
          <w:sz w:val="24"/>
        </w:rPr>
        <w:t xml:space="preserve">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В 2024 и 2025 годах в образовательных учреждениях округа было проведено более ста мероприятий, посвященных праздничным и памятным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датам российской истории. В них приняли участие свыше девяти тысяч учащихся.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Школы и колледжи активно сотрудничают с ветеранами боевых действий, в том числе с участниками специальной военной операции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воинами-интернационалистами. Примером такой работы служит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проект «Портреты героев»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, реализованный в 2025 году Сургутским колледжем русской культуры. Студенты отделения «Дизайн» создали серию портретов ветеранов СВО, которые затем были представлены на выставке.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C6EB0">
        <w:rPr>
          <w:rFonts w:ascii="Times New Roman" w:eastAsia="Times New Roman" w:hAnsi="Times New Roman"/>
          <w:bCs/>
          <w:sz w:val="28"/>
          <w:szCs w:val="28"/>
          <w:lang w:eastAsia="ru-RU"/>
        </w:rPr>
        <w:t>Культурно-досуговыми учреждениями</w:t>
      </w: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автономного округа ежегодно проводятся более 54 тысяч мероприятий, в том числе</w:t>
      </w: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для детей и молодежи, посвященные календарным праздникам и памятным датам истории России. Общий охват зрительской аудитории составляет </w:t>
      </w: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более 6 миллионов человек.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sz w:val="28"/>
          <w:szCs w:val="28"/>
        </w:rPr>
        <w:t xml:space="preserve">В 2025 году – в Год </w:t>
      </w:r>
      <w:r w:rsidRPr="004C6EB0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80-летия Победы в Великой Отечественной войне 1941-1945 годов, в Год защитника Отечества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 в России и в Год </w:t>
      </w:r>
      <w:r w:rsidRPr="004C6EB0">
        <w:rPr>
          <w:rFonts w:ascii="Times New Roman" w:eastAsia="Times New Roman" w:hAnsi="Times New Roman"/>
          <w:sz w:val="28"/>
          <w:szCs w:val="28"/>
        </w:rPr>
        <w:t xml:space="preserve">исторического наследия в Югре проводятся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циклы мероприятий, направленные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на патриотическое воспитание молодежи.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Один из масштабных новых проектов –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открытый фестиваль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br/>
        <w:t>военно-патриотической песни Уральского федерального округа «Работайте, братья»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. К участию в Фестивале приглашались творческие коллективы и отдельные исполнители учреждений культуры и образования, представители правоохранительных органов, сотрудники МЧС России, военнослужащие, участники СВО и члены их семей, ветераны боевых действий, представители организаций всех форм собственности, по четырем возрастным категориям:  от 14 до 17 лет;  от </w:t>
      </w:r>
      <w:r w:rsidR="00242659">
        <w:rPr>
          <w:rFonts w:ascii="Times New Roman" w:eastAsia="Times New Roman" w:hAnsi="Times New Roman"/>
          <w:color w:val="000000"/>
          <w:sz w:val="28"/>
          <w:szCs w:val="28"/>
        </w:rPr>
        <w:t xml:space="preserve">18 до 34 лет; от 35 до 59 лет;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60 лет и старше.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В адрес Окружного Дома народного творчества поступила 261 заявка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из 20 регионов России – Республик Крым, Татарстан, Удмуртия, Забайкальского, Приморского краёв, Воронежской, Калининградской, Курганской, Липецкой, Мурманской, Новосибирской, Омской, Свердловской, Тюменской, Ярославской, Ростовской, Рязанской, Челябинской областей,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>Ханты-Мансийского и Ямало-Ненецкого автономных округов.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Фестиваль проводится в два этапа, первый отборочный в дистанционной форме. Второй этап – в форме Гала-концерта с участием победителей первого этапа Фестиваля. В конкурсе предусмотрены четыре номинации, включая специальную – «За ленточкой» для участников специальной военной операции. Гала-концерт Фестиваля состоится 21 июня 2025 года в Концертно-театральном центре «Югра-Классик» в Ханты-Мансийске.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t xml:space="preserve">В рамках реализации Плана мероприятий по молодежной политики </w:t>
      </w: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br/>
        <w:t xml:space="preserve">в </w:t>
      </w:r>
      <w:r w:rsidRPr="004C6EB0">
        <w:rPr>
          <w:rFonts w:ascii="Times New Roman" w:eastAsia="Times New Roman" w:hAnsi="Times New Roman"/>
          <w:bCs/>
          <w:color w:val="000000"/>
          <w:sz w:val="28"/>
          <w:highlight w:val="white"/>
        </w:rPr>
        <w:t>Государственной библиотеке Югры</w:t>
      </w: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t xml:space="preserve"> </w:t>
      </w:r>
      <w:r w:rsidRPr="004C6EB0">
        <w:rPr>
          <w:rFonts w:ascii="Times New Roman" w:eastAsia="Times New Roman" w:hAnsi="Times New Roman"/>
          <w:color w:val="000000"/>
          <w:sz w:val="28"/>
        </w:rPr>
        <w:t xml:space="preserve">проводится 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>в</w:t>
      </w:r>
      <w:r w:rsidRPr="004C6EB0">
        <w:rPr>
          <w:rFonts w:ascii="Times New Roman" w:eastAsia="Times New Roman" w:hAnsi="Times New Roman"/>
          <w:bCs/>
          <w:color w:val="000000"/>
          <w:sz w:val="28"/>
          <w:highlight w:val="white"/>
        </w:rPr>
        <w:t xml:space="preserve">сероссийская Неделя детской и юношеской книги. </w:t>
      </w: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t xml:space="preserve">В этом году мероприятия Недели на тему </w:t>
      </w: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lastRenderedPageBreak/>
        <w:t xml:space="preserve">«История с продолжением» включали: творческие встречи, мастер-классы, концерт, конкурсы и онлайн-встречи с известными писателями Екатериной Матюшкиной, Светланой Кривошлыковой, Майей Лазаренской и Идой Мартин. В мероприятии приняло участие 711 человек, из них 620 детей </w:t>
      </w:r>
      <w:r w:rsidRPr="004C6EB0">
        <w:rPr>
          <w:rFonts w:ascii="Times New Roman" w:eastAsia="Times New Roman" w:hAnsi="Times New Roman"/>
          <w:color w:val="000000"/>
          <w:sz w:val="28"/>
          <w:highlight w:val="white"/>
        </w:rPr>
        <w:br/>
        <w:t>до 14 лет.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 xml:space="preserve">В автономном округе 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 xml:space="preserve">работают 123 центра удаленного доступа 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br/>
        <w:t>к информационным ресурсам Президентской библиотеки</w:t>
      </w:r>
      <w:r w:rsidRPr="004C6EB0">
        <w:rPr>
          <w:rFonts w:ascii="Times New Roman" w:eastAsia="Times New Roman" w:hAnsi="Times New Roman"/>
          <w:color w:val="000000"/>
          <w:sz w:val="28"/>
        </w:rPr>
        <w:t xml:space="preserve">, из них 98 </w:t>
      </w:r>
      <w:r w:rsidRPr="004C6EB0">
        <w:rPr>
          <w:rFonts w:ascii="Times New Roman" w:eastAsia="Times New Roman" w:hAnsi="Times New Roman"/>
          <w:color w:val="000000"/>
          <w:sz w:val="28"/>
        </w:rPr>
        <w:br/>
        <w:t>в общедоступных библиотеках, 24</w:t>
      </w:r>
      <w:r w:rsidR="00242659">
        <w:rPr>
          <w:rFonts w:ascii="Times New Roman" w:eastAsia="Times New Roman" w:hAnsi="Times New Roman"/>
          <w:color w:val="000000"/>
          <w:sz w:val="28"/>
        </w:rPr>
        <w:t xml:space="preserve"> в образовательных учреждениях </w:t>
      </w:r>
      <w:r w:rsidRPr="004C6EB0">
        <w:rPr>
          <w:rFonts w:ascii="Times New Roman" w:eastAsia="Times New Roman" w:hAnsi="Times New Roman"/>
          <w:color w:val="000000"/>
          <w:sz w:val="28"/>
        </w:rPr>
        <w:t xml:space="preserve">и Государственный архив Югры.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 xml:space="preserve">Более 20 000 пользователей воспользовались более 110 000 цифровыми копиями исторических документов. Продолжил реализацию информационный проект «Волонтеры Президентской», задачей которого является информирование максимального количества детей и подростков </w:t>
      </w:r>
      <w:r w:rsidRPr="004C6EB0">
        <w:rPr>
          <w:rFonts w:ascii="Times New Roman" w:eastAsia="Times New Roman" w:hAnsi="Times New Roman"/>
          <w:color w:val="000000"/>
          <w:sz w:val="28"/>
        </w:rPr>
        <w:br/>
        <w:t xml:space="preserve">о ресурсах и проектах Президентской библиотеки с целью противодействия попыткам фальсификации и искажению истории в ущерб интересам России. </w:t>
      </w:r>
      <w:r w:rsidRPr="004C6EB0">
        <w:rPr>
          <w:rFonts w:ascii="Times New Roman" w:eastAsia="Times New Roman" w:hAnsi="Times New Roman"/>
          <w:color w:val="000000"/>
          <w:sz w:val="28"/>
        </w:rPr>
        <w:tab/>
        <w:t xml:space="preserve">В отчётном году в Ханты-Мансийске 90 информационных волонтеров </w:t>
      </w:r>
      <w:r w:rsidRPr="004C6EB0">
        <w:rPr>
          <w:rFonts w:ascii="Times New Roman" w:eastAsia="Times New Roman" w:hAnsi="Times New Roman"/>
          <w:color w:val="000000"/>
          <w:sz w:val="28"/>
        </w:rPr>
        <w:br/>
        <w:t xml:space="preserve">из числа обучающихся 8 школ познакомили с деятельностью и ресурсами Президентской библиотеки 2 698 учащихся 5-11 классов. В проекте принимают участие 11 муниципальных образований автономного округа (Нижневартовск, Когалым, Югорск, Покачи, Сургутский, Нефтеюганский, Белоярский, Советский, Березовский, Октябрьский, Кондинский районы) </w:t>
      </w:r>
      <w:r w:rsidRPr="004C6EB0">
        <w:rPr>
          <w:rFonts w:ascii="Times New Roman" w:eastAsia="Times New Roman" w:hAnsi="Times New Roman"/>
          <w:color w:val="000000"/>
          <w:sz w:val="28"/>
        </w:rPr>
        <w:br/>
        <w:t>52 информационных волонтера из числа обучающихся школ Югры познакомили с деятельностью и ресурсами Президентской библиотеки 1 643 учащихся 5-11 классов.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</w:rPr>
      </w:pPr>
      <w:r w:rsidRPr="004C6EB0">
        <w:rPr>
          <w:rFonts w:ascii="Times New Roman" w:hAnsi="Times New Roman"/>
          <w:sz w:val="28"/>
          <w:szCs w:val="28"/>
        </w:rPr>
        <w:tab/>
      </w:r>
      <w:r w:rsidRPr="004C6EB0">
        <w:rPr>
          <w:rFonts w:ascii="Times New Roman" w:hAnsi="Times New Roman"/>
          <w:bCs/>
          <w:sz w:val="28"/>
          <w:szCs w:val="28"/>
        </w:rPr>
        <w:t>Музеями округа</w:t>
      </w:r>
      <w:r w:rsidRPr="004C6EB0">
        <w:rPr>
          <w:rFonts w:ascii="Times New Roman" w:hAnsi="Times New Roman"/>
          <w:sz w:val="28"/>
          <w:szCs w:val="28"/>
        </w:rPr>
        <w:t xml:space="preserve">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реализуются ключевые проекты, связанные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>с сохранением исторической памяти.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Проект Музея Природы и Человека «Город трудовой доблести» </w:t>
      </w:r>
      <w:r w:rsidRPr="004C6EB0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рассказывает о вкладе жителей города Ханты-Мансийска в победу в Великой Отечественной войне через призму трудового подвига.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В рамках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проекта «За блокадной чертой»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 была организована встреча членов общества «Жители блокадного Ленинграда» Маргариты Яковлевны Кузьменковой, Нины Дмитриевны Вороновой и представителей общественных организаций Ханты-Мансийска с участием 70 обучающихся школ города и волонтерского отряда «Движение первых».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проекте «В труде-как в бою!»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передвижная выставка-экспозиция представляет образцы продукции, произведённой в автономном округе для нужд фронта: рыбные консервы, заготовки для ружейных прикладов, ценный мех, который экспортировался в счёт оплаты поставок союзниками вооружения. Выставка также экспонировалась на 3-х площадках Ханты-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Мансийка: в Школе № 6 им. Н.И. Сирина, в музее «Торум Маа», в здании аэропорта столицы Югры.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Государственным художественным музеем реализует проект гражданско-патриотического воспитания детей и молодежи «Родина»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, направленный на дальнейшее формирование патриотического сознания граждан как важнейшей ценности, одной из основ духовно-нравственного единства общества. Ранее в 2022 году проект стал лауреатом II степени ежегодного окружного конкурса «Музейный Олимп Югры» в номинации «Музейная просветительная программа».</w:t>
      </w:r>
      <w:r w:rsidRPr="004C6EB0">
        <w:rPr>
          <w:rFonts w:ascii="Times New Roman" w:eastAsia="Times New Roman" w:hAnsi="Times New Roman"/>
          <w:color w:val="000000"/>
          <w:sz w:val="24"/>
        </w:rPr>
        <w:t> 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Этнографический музей под открытым небом «Торум Маа»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 продолжает цикл мероприятий, направленных на патриотическое воспитание детей и молодежи.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>Выставка «Отыры Великой Победы. Берёзово»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 посвящена жителям, ушедшим на фронт с Березовской земли. Цикл выставок о героях коренных жителях угорского края, людях, чьи имена навечно внесены в летопись истории автономного округа, родины каждого и страны в целом. </w:t>
      </w:r>
      <w:r w:rsidRPr="004C6EB0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Экспонирование выставки продолжится до 24 июня 2025 года</w:t>
      </w:r>
      <w:r w:rsidRPr="004C6EB0">
        <w:rPr>
          <w:rFonts w:ascii="Times New Roman" w:eastAsia="Times New Roman" w:hAnsi="Times New Roman"/>
          <w:sz w:val="28"/>
          <w:szCs w:val="28"/>
        </w:rPr>
        <w:t>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 xml:space="preserve">На духовно-нравственное и патриотическое воспитание жителей Югры направлены тематические проекты </w:t>
      </w:r>
      <w:r w:rsidRPr="004C6EB0">
        <w:rPr>
          <w:rFonts w:ascii="Times New Roman" w:eastAsia="Times New Roman" w:hAnsi="Times New Roman"/>
          <w:bCs/>
          <w:color w:val="000000"/>
          <w:sz w:val="28"/>
          <w:highlight w:val="white"/>
        </w:rPr>
        <w:t>Югорского кинопроката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>: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>окружная военно-патриотическая киноакция «Киноленты, обожженные войной» включает показ военно-патриотических фильмов о Великой Отечественной войне;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>окружная военно-патриотическая киноакция «Zа Победу» включает документальные и художественные фильмы о специальной военной операции (за 1 полугодие 2025 года организовано 103 показа для 5 384 зрителей);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 xml:space="preserve">окружная киноакция «Киноколлекция литературных Героев» </w:t>
      </w:r>
      <w:r w:rsidRPr="004C6EB0">
        <w:rPr>
          <w:rFonts w:ascii="Times New Roman" w:eastAsia="Times New Roman" w:hAnsi="Times New Roman"/>
          <w:color w:val="000000"/>
          <w:sz w:val="28"/>
        </w:rPr>
        <w:br/>
        <w:t>с участием 309 зрителей.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Во исполнение </w:t>
      </w: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перечня поручений Президента Российской Федерации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от 02.01.2023 № Пр-6 по итогам встречи Президента Российской Федерации с матерями военнослужащих – участников специальной военной операции 25.11.2022, в автономном округе созданы общественные пространства, арт-объекты, школьные музеи, музейные экспозиции, посвященные участникам СВО, проявившим отвагу, мужество и героизм; реализуются патриотические ме</w:t>
      </w:r>
      <w:r w:rsid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роприятия, акции, направленные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>на увековечение памяти участников СВО: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ab/>
        <w:t>церемонии возложения цветов к Мемориалам Славы во всех муниципальных образованиях автономного округа в рамках дней воинской славы и памятных дат Российской Федерации;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ab/>
        <w:t>открытие Аллей Памяти и Памятных знаков погибшим при защите Отечества;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ab/>
        <w:t>открытие выставок в музейных комплексах.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ab/>
        <w:t>Всего в 2024 году музеями Югры реализовано 10 выставочных проектов.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eastAsia="Times New Roman" w:hAnsi="Times New Roman"/>
          <w:color w:val="000000"/>
        </w:rPr>
      </w:pPr>
      <w:r w:rsidRPr="004C6EB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ab/>
        <w:t xml:space="preserve">По данным информационно-аналитической системы «Медиалогия»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br/>
        <w:t>в 2024 году в средствах массовой информации автономного округа размещено 1 571 сообщение, касающееся увековечения памяти участников СВО.</w:t>
      </w:r>
    </w:p>
    <w:p w:rsidR="00BD1693" w:rsidRPr="004C6EB0" w:rsidRDefault="00222216">
      <w:pPr>
        <w:pStyle w:val="1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hAnsi="Times New Roman"/>
          <w:sz w:val="28"/>
          <w:szCs w:val="28"/>
        </w:rPr>
        <w:tab/>
        <w:t xml:space="preserve">Еще одним важнейшим направлением в воспитании молодежи является сохранение традиционной культуры. Современные методы работы позволяют не только беречь культурное наследие, но и адаптировать его к условиям современности, что способствует формированию у молодого поколения уважения к своим корням и развитию национального </w:t>
      </w:r>
      <w:r w:rsidRPr="004C6EB0">
        <w:rPr>
          <w:rFonts w:ascii="Times New Roman" w:hAnsi="Times New Roman"/>
          <w:color w:val="000000" w:themeColor="text1"/>
          <w:sz w:val="28"/>
          <w:szCs w:val="28"/>
        </w:rPr>
        <w:t>самосознания.</w:t>
      </w:r>
      <w:r w:rsidRPr="004C6EB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6EB0">
        <w:rPr>
          <w:rFonts w:ascii="Times New Roman" w:hAnsi="Times New Roman"/>
          <w:sz w:val="28"/>
          <w:szCs w:val="28"/>
        </w:rPr>
        <w:t xml:space="preserve">Таким инструментом является электронный </w:t>
      </w:r>
      <w:r w:rsidRPr="004C6EB0">
        <w:rPr>
          <w:rFonts w:ascii="Times New Roman" w:hAnsi="Times New Roman"/>
          <w:bCs/>
          <w:sz w:val="28"/>
          <w:szCs w:val="28"/>
        </w:rPr>
        <w:t>Реестр объектов нематериального этнокультурного достояния наследия народов Югры</w:t>
      </w:r>
      <w:r w:rsidRPr="004C6EB0">
        <w:rPr>
          <w:rFonts w:ascii="Times New Roman" w:hAnsi="Times New Roman"/>
          <w:sz w:val="28"/>
          <w:szCs w:val="28"/>
        </w:rPr>
        <w:t>. Региональный реестр создан один из первых в России в 2013 году. Реестр фиксирует уникальные традиции, обряды и реме</w:t>
      </w:r>
      <w:r w:rsidR="00242659">
        <w:rPr>
          <w:rFonts w:ascii="Times New Roman" w:hAnsi="Times New Roman"/>
          <w:sz w:val="28"/>
          <w:szCs w:val="28"/>
        </w:rPr>
        <w:t xml:space="preserve">сло, позволяя сохранить знания </w:t>
      </w:r>
      <w:r w:rsidRPr="004C6EB0">
        <w:rPr>
          <w:rFonts w:ascii="Times New Roman" w:hAnsi="Times New Roman"/>
          <w:sz w:val="28"/>
          <w:szCs w:val="28"/>
        </w:rPr>
        <w:t xml:space="preserve">и практики, которые могут быть под угрозой исчезновения. Он предоставляет правовую основу для защиты культурных объектов, помогает в реализации программ по их сохранению.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hAnsi="Times New Roman"/>
          <w:sz w:val="28"/>
          <w:szCs w:val="28"/>
        </w:rPr>
        <w:t xml:space="preserve">Молодежь округа на </w:t>
      </w:r>
      <w:r w:rsidRPr="004C6EB0">
        <w:rPr>
          <w:rFonts w:ascii="Times New Roman" w:hAnsi="Times New Roman"/>
          <w:bCs/>
          <w:sz w:val="28"/>
          <w:szCs w:val="28"/>
        </w:rPr>
        <w:t>базе Школ креативных индустрий</w:t>
      </w:r>
      <w:r w:rsidRPr="004C6EB0">
        <w:rPr>
          <w:rFonts w:ascii="Times New Roman" w:hAnsi="Times New Roman"/>
          <w:sz w:val="28"/>
          <w:szCs w:val="28"/>
        </w:rPr>
        <w:t xml:space="preserve">, созданных в рамках реализации федерального проекта «Придумано в России», активно использует этнографический материал Реестра и создает этнокультурные и экологические проекты. Один из таких примеров – </w:t>
      </w:r>
      <w:r w:rsidRPr="004C6EB0">
        <w:rPr>
          <w:rFonts w:ascii="Times New Roman" w:hAnsi="Times New Roman"/>
          <w:bCs/>
          <w:sz w:val="28"/>
          <w:szCs w:val="28"/>
        </w:rPr>
        <w:t>изготовление национальных шахмат народов ханты «Топис» проекта «Забытые традиции»</w:t>
      </w:r>
      <w:r w:rsidRPr="004C6EB0">
        <w:rPr>
          <w:rFonts w:ascii="Times New Roman" w:hAnsi="Times New Roman"/>
          <w:sz w:val="28"/>
          <w:szCs w:val="28"/>
        </w:rPr>
        <w:t xml:space="preserve"> Ассамблеи народов России в Югре и Окружного Дома народного творчества.</w:t>
      </w:r>
    </w:p>
    <w:p w:rsid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>В целях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 xml:space="preserve"> </w:t>
      </w:r>
      <w:r w:rsidRPr="004C6EB0">
        <w:rPr>
          <w:rFonts w:ascii="Times New Roman" w:eastAsia="Times New Roman" w:hAnsi="Times New Roman"/>
          <w:color w:val="000000"/>
          <w:sz w:val="28"/>
        </w:rPr>
        <w:t xml:space="preserve">выявления и поддержки талантливых юных мастеров, новых коллективов, стимулирование интереса учащихся, педагогов, к изучению, сохранению и развитию народного искусства 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 xml:space="preserve">Окружным Центром народных художественных промыслов и ремесел </w:t>
      </w:r>
      <w:r w:rsidRPr="004C6EB0">
        <w:rPr>
          <w:rFonts w:ascii="Times New Roman" w:eastAsia="Times New Roman" w:hAnsi="Times New Roman"/>
          <w:color w:val="000000"/>
          <w:sz w:val="28"/>
        </w:rPr>
        <w:t xml:space="preserve">ежегодно проводится </w:t>
      </w:r>
      <w:r w:rsidRPr="004C6EB0">
        <w:rPr>
          <w:rFonts w:ascii="Times New Roman" w:eastAsia="Times New Roman" w:hAnsi="Times New Roman"/>
          <w:bCs/>
          <w:color w:val="000000"/>
          <w:sz w:val="28"/>
        </w:rPr>
        <w:t>Всероссийский детско-юношеский форум народного искусства</w:t>
      </w:r>
      <w:r w:rsidR="004C6EB0">
        <w:rPr>
          <w:rFonts w:ascii="Times New Roman" w:eastAsia="Times New Roman" w:hAnsi="Times New Roman"/>
          <w:color w:val="000000"/>
          <w:sz w:val="28"/>
        </w:rPr>
        <w:t>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4C6EB0">
        <w:rPr>
          <w:rFonts w:ascii="Times New Roman" w:eastAsia="Times New Roman" w:hAnsi="Times New Roman"/>
          <w:color w:val="000000"/>
          <w:sz w:val="28"/>
        </w:rPr>
        <w:t xml:space="preserve"> В 2024 году участниками форума стали около 150 начинающих мастеров из Сургута, Нижневартовска, Нефтеюганска, а также из городов Уральского федерального округа и Центральной России. Программа форума включает: конференцию творческих исследований детей и подростков «Ремесла и промыслы: прошлое и настоящее»; творческие лаборатории по народному искусству; интерактивные лекции «Музей: сокровища народного искусства»; конкурсы эскизов одежды с использованием элементов народного искусства; выставку работ участников.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C6EB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Театрами Югры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t xml:space="preserve">осуществляется показы спектаклей и иных мероприятий для всех возрастных категорий зрителей, в том числе направленных на духовно-нравственное и военно-патриотическое воспитание подрастающего поколения и на укрепление общероссийского гражданского единства. В юбилейный год театры представляют тематические премьеры: «Сказки народов Севера», «Райшев. Как нарисовать песню», «Нижневартовск. </w:t>
      </w:r>
      <w:r w:rsidRPr="004C6EB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Нефтяное «сердце», «У каждого времени своя песня», «Река Потудань», концертная программа «Райшев. Путь художника».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  <w:lang w:eastAsia="ru-RU"/>
        </w:rPr>
        <w:t>Гражданско-патриотическое воспитание в культурной среде Югры демонстрирует высокую эффективность и требует дальнейшего развития. Успешная реализация существующих программ и внедрение новых инициатив позволяет формировать у молодого поколения устойчивые патриотические ценности и активную гражданскую позицию.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Мероприятия по сохранению культурного наследия как стратегического вектора развития региона требуют государственной поддержки. В Югре создана и эффективно реализуется система </w:t>
      </w:r>
      <w:r w:rsidRPr="004C6EB0"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>грантовой поддержки регионального и муниципального уровней</w:t>
      </w:r>
      <w:r w:rsidRPr="004C6EB0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</w:rPr>
        <w:t>В 2024 году Югра первая в стране адаптировала под регион модель конкурсов в области культуры и креативных индустрий Президентского фонда культурных инициатив – этот грант рассчитан на широкую аудиторию и предусматривает поддержку, в том числе, коммерческих организаций и индивидуальных предпринимателей. Музыканты, архитекторы, урбанисты, дизайнеры, литераторы, представители культуры и моды могут получить поддержку своих идей, если они помогают жителям округа раскрыть свой творческий потенциал и вовлекают их в формирование новых тенденций и социокультурных ценностей региона и страны.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</w:rPr>
        <w:t>В этом конкурсе предусмотрено 9 тематических направлений, охватывающих культуру и искусство, среди них – «Нация созидателей», «Великое русское слово», «Культурный код», «Молодые лидеры», «Многонациональный народ».</w:t>
      </w:r>
    </w:p>
    <w:p w:rsidR="00CD329F" w:rsidRDefault="00222216" w:rsidP="00CD329F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eastAsia="Times New Roman" w:hAnsi="Times New Roman"/>
          <w:sz w:val="28"/>
          <w:szCs w:val="28"/>
        </w:rPr>
        <w:t xml:space="preserve">В рамках конкурса </w:t>
      </w:r>
      <w:r w:rsidRPr="004C6EB0">
        <w:rPr>
          <w:rFonts w:ascii="Times New Roman" w:eastAsia="Times New Roman" w:hAnsi="Times New Roman"/>
          <w:bCs/>
          <w:sz w:val="28"/>
          <w:szCs w:val="28"/>
        </w:rPr>
        <w:t>2024 года</w:t>
      </w:r>
      <w:r w:rsidRPr="004C6EB0">
        <w:rPr>
          <w:rFonts w:ascii="Times New Roman" w:eastAsia="Times New Roman" w:hAnsi="Times New Roman"/>
          <w:sz w:val="28"/>
          <w:szCs w:val="28"/>
        </w:rPr>
        <w:t xml:space="preserve"> проведена зая</w:t>
      </w:r>
      <w:r w:rsidRPr="004C6EB0">
        <w:rPr>
          <w:rFonts w:ascii="Times New Roman" w:hAnsi="Times New Roman"/>
          <w:sz w:val="28"/>
          <w:szCs w:val="28"/>
        </w:rPr>
        <w:t xml:space="preserve">вочная кампания, по результатам которой подано 213 заявок на 440 млн. рублей. Каждая заявка оценивалась федеральным и региональным экспертом. По итогам независимой экспертизы отобрано </w:t>
      </w:r>
      <w:r w:rsidR="00CD329F">
        <w:rPr>
          <w:rFonts w:ascii="Times New Roman" w:hAnsi="Times New Roman"/>
          <w:bCs/>
          <w:sz w:val="28"/>
          <w:szCs w:val="28"/>
        </w:rPr>
        <w:t xml:space="preserve">26 проектов на сумму 36 млн. </w:t>
      </w:r>
      <w:r w:rsidRPr="004C6EB0">
        <w:rPr>
          <w:rFonts w:ascii="Times New Roman" w:hAnsi="Times New Roman"/>
          <w:bCs/>
          <w:sz w:val="28"/>
          <w:szCs w:val="28"/>
        </w:rPr>
        <w:t>рублей</w:t>
      </w:r>
      <w:r w:rsidRPr="004C6EB0">
        <w:rPr>
          <w:rFonts w:ascii="Times New Roman" w:hAnsi="Times New Roman"/>
          <w:sz w:val="28"/>
          <w:szCs w:val="28"/>
        </w:rPr>
        <w:t>.</w:t>
      </w:r>
    </w:p>
    <w:p w:rsidR="00BD1693" w:rsidRPr="00CD329F" w:rsidRDefault="00222216" w:rsidP="00CD329F">
      <w:pPr>
        <w:pStyle w:val="13"/>
        <w:spacing w:line="276" w:lineRule="auto"/>
        <w:ind w:firstLine="708"/>
        <w:jc w:val="both"/>
        <w:rPr>
          <w:rFonts w:ascii="Times New Roman" w:hAnsi="Times New Roman"/>
        </w:rPr>
      </w:pPr>
      <w:r w:rsidRPr="004C6EB0">
        <w:rPr>
          <w:rFonts w:ascii="Times New Roman" w:hAnsi="Times New Roman"/>
          <w:sz w:val="28"/>
          <w:szCs w:val="28"/>
        </w:rPr>
        <w:t xml:space="preserve">Конкурс вызвал высокий интерес со стороны гражданского общества </w:t>
      </w:r>
      <w:r w:rsidRPr="004C6EB0">
        <w:rPr>
          <w:rFonts w:ascii="Times New Roman" w:hAnsi="Times New Roman"/>
          <w:sz w:val="28"/>
          <w:szCs w:val="28"/>
        </w:rPr>
        <w:br/>
        <w:t xml:space="preserve">и креативного бизнес-сообщества, запрос средств на реализацию проектов более чем в 10 раз превысил выделенные денежные средства.  </w:t>
      </w:r>
    </w:p>
    <w:p w:rsidR="00BD1693" w:rsidRPr="004C6EB0" w:rsidRDefault="00222216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6EB0">
        <w:rPr>
          <w:rFonts w:ascii="Times New Roman" w:hAnsi="Times New Roman"/>
          <w:sz w:val="28"/>
          <w:szCs w:val="28"/>
        </w:rPr>
        <w:t>Гражданско-патриотическое воспитание молодежи в сфере культуры Югры является комплексной системой, направленной на формирование у молодого поколения любви к родному краю, уважения к его истории и традициям. Особая роль в этом процессе принадлежит учреждениям культуры, которые создают условия для приобщения молодежи к богатому культурному наследию региона.</w:t>
      </w:r>
    </w:p>
    <w:p w:rsidR="00BD1693" w:rsidRPr="004C6EB0" w:rsidRDefault="00222216" w:rsidP="00242659">
      <w:pPr>
        <w:pStyle w:val="13"/>
        <w:spacing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C6EB0">
        <w:rPr>
          <w:rFonts w:ascii="Times New Roman" w:hAnsi="Times New Roman"/>
          <w:sz w:val="28"/>
          <w:szCs w:val="28"/>
        </w:rPr>
        <w:t>Дальнейшее развитие данной работы предполагает расширение использования современных технологий, укрепление межкультурного диалога и создание новых форм взаимодействия с молодежью.</w:t>
      </w:r>
      <w:bookmarkStart w:id="0" w:name="_GoBack"/>
      <w:bookmarkEnd w:id="0"/>
    </w:p>
    <w:sectPr w:rsidR="00BD1693" w:rsidRPr="004C6EB0" w:rsidSect="0024265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B4" w:rsidRDefault="000F1BB4">
      <w:pPr>
        <w:spacing w:after="0" w:line="240" w:lineRule="auto"/>
      </w:pPr>
      <w:r>
        <w:separator/>
      </w:r>
    </w:p>
  </w:endnote>
  <w:endnote w:type="continuationSeparator" w:id="0">
    <w:p w:rsidR="000F1BB4" w:rsidRDefault="000F1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B4" w:rsidRDefault="000F1BB4">
      <w:pPr>
        <w:spacing w:after="0" w:line="240" w:lineRule="auto"/>
      </w:pPr>
      <w:r>
        <w:separator/>
      </w:r>
    </w:p>
  </w:footnote>
  <w:footnote w:type="continuationSeparator" w:id="0">
    <w:p w:rsidR="000F1BB4" w:rsidRDefault="000F1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36A"/>
    <w:multiLevelType w:val="hybridMultilevel"/>
    <w:tmpl w:val="03B47314"/>
    <w:lvl w:ilvl="0" w:tplc="31F4D8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3886B8A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9C0ACCD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30A6B4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D92E781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32C4E75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2C2ABD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BD5E48A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0792CF3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1" w15:restartNumberingAfterBreak="0">
    <w:nsid w:val="06F45EF4"/>
    <w:multiLevelType w:val="hybridMultilevel"/>
    <w:tmpl w:val="E9088B14"/>
    <w:lvl w:ilvl="0" w:tplc="E83A8E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AAF2B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80CE0B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4249C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08A9C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4E2A11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DA2E4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35E3E6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772577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7E511DA"/>
    <w:multiLevelType w:val="hybridMultilevel"/>
    <w:tmpl w:val="F548782A"/>
    <w:lvl w:ilvl="0" w:tplc="665E926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32FEA53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129C38E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8ED292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A4C0DA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C79E8B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FF1A3F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EC5C45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FCD8B1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3" w15:restartNumberingAfterBreak="0">
    <w:nsid w:val="0E493B6B"/>
    <w:multiLevelType w:val="hybridMultilevel"/>
    <w:tmpl w:val="4BA21A10"/>
    <w:lvl w:ilvl="0" w:tplc="29423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1C04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80652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FD4B9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354345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982B00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43E2A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D42D9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EB2AB7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72682F"/>
    <w:multiLevelType w:val="hybridMultilevel"/>
    <w:tmpl w:val="541AF98A"/>
    <w:lvl w:ilvl="0" w:tplc="B6C4017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4AB2EF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361081B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7D1890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57B05D8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10A614F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5C4E8E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5B7E8C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91A031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5" w15:restartNumberingAfterBreak="0">
    <w:nsid w:val="2233497A"/>
    <w:multiLevelType w:val="hybridMultilevel"/>
    <w:tmpl w:val="13A4E6A2"/>
    <w:lvl w:ilvl="0" w:tplc="5D84EF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8805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3381EF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09A73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0FE490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BEAD9D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460A7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F86437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1CCD56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5935FA"/>
    <w:multiLevelType w:val="hybridMultilevel"/>
    <w:tmpl w:val="F89E7012"/>
    <w:lvl w:ilvl="0" w:tplc="E5E668A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CF5A5D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F8068E3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025E48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A7249CD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21CC00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0414E9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4F98F10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1564E6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7" w15:restartNumberingAfterBreak="0">
    <w:nsid w:val="301F4E53"/>
    <w:multiLevelType w:val="hybridMultilevel"/>
    <w:tmpl w:val="F97CC0C6"/>
    <w:lvl w:ilvl="0" w:tplc="24A07E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D2D611A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7DAA6E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F9409F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7C5409B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2B0CC4D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93C466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F1166A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307EB1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8" w15:restartNumberingAfterBreak="0">
    <w:nsid w:val="315374D5"/>
    <w:multiLevelType w:val="hybridMultilevel"/>
    <w:tmpl w:val="B53A1B44"/>
    <w:lvl w:ilvl="0" w:tplc="78AE40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7348064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38DA86E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3F1ED4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9ECC7EE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A2B6A9E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6A9415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BE2C29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2F68F4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9" w15:restartNumberingAfterBreak="0">
    <w:nsid w:val="344165C7"/>
    <w:multiLevelType w:val="hybridMultilevel"/>
    <w:tmpl w:val="9D6CD4D2"/>
    <w:lvl w:ilvl="0" w:tplc="319CA8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3E5A2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318AF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D2C3E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65EED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330FF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D066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CF480F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FE05F3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1B7B53"/>
    <w:multiLevelType w:val="hybridMultilevel"/>
    <w:tmpl w:val="FB8819A4"/>
    <w:lvl w:ilvl="0" w:tplc="092087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171021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28D03E8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87DA1B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2F5AF14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9414550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3E105E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8676D9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1BC0D4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11" w15:restartNumberingAfterBreak="0">
    <w:nsid w:val="449F44DE"/>
    <w:multiLevelType w:val="hybridMultilevel"/>
    <w:tmpl w:val="76A4D5F0"/>
    <w:lvl w:ilvl="0" w:tplc="FBBCF3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D9F653D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CE5630B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632017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879E2B5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5D3AD3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A5425B4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3E30308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7EB08E5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12" w15:restartNumberingAfterBreak="0">
    <w:nsid w:val="47BE1534"/>
    <w:multiLevelType w:val="hybridMultilevel"/>
    <w:tmpl w:val="2C02AA66"/>
    <w:lvl w:ilvl="0" w:tplc="B992C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A8E2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EE2B5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AAC8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820F11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EAC0A8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F8EF3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BD606F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5B0DB6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87169A9"/>
    <w:multiLevelType w:val="hybridMultilevel"/>
    <w:tmpl w:val="B1CC811E"/>
    <w:lvl w:ilvl="0" w:tplc="FA9CC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E27B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F653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6166E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692ADB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7106C2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D4CB7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00651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1BACFF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DFE45B5"/>
    <w:multiLevelType w:val="hybridMultilevel"/>
    <w:tmpl w:val="F32ED0CE"/>
    <w:lvl w:ilvl="0" w:tplc="1FAC70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92368FD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D0C001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818A1C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5F220B7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B982233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237E06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E4AAE76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4AA031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15" w15:restartNumberingAfterBreak="0">
    <w:nsid w:val="519B6DB6"/>
    <w:multiLevelType w:val="hybridMultilevel"/>
    <w:tmpl w:val="4A5C3E18"/>
    <w:lvl w:ilvl="0" w:tplc="6F628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64B5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D48885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D3610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7E8D99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8F43D6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66480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8B42AB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950BA5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51668A5"/>
    <w:multiLevelType w:val="hybridMultilevel"/>
    <w:tmpl w:val="79CE4506"/>
    <w:lvl w:ilvl="0" w:tplc="7A38209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010C7B0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ADBEE4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D846977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5E4CE11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3F84096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43DCCD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4C6C1F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98B4B15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17" w15:restartNumberingAfterBreak="0">
    <w:nsid w:val="56217613"/>
    <w:multiLevelType w:val="hybridMultilevel"/>
    <w:tmpl w:val="1832B5A2"/>
    <w:lvl w:ilvl="0" w:tplc="A920D0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2AA66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09E6C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974C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70CFCD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D0883E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16211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A98CF8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138DF0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49468F"/>
    <w:multiLevelType w:val="hybridMultilevel"/>
    <w:tmpl w:val="23500F02"/>
    <w:lvl w:ilvl="0" w:tplc="2CD436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5426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63C0A5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E6682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47AA31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1AC59A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6DC18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E38198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5A0A3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B453DF"/>
    <w:multiLevelType w:val="hybridMultilevel"/>
    <w:tmpl w:val="C14ACB60"/>
    <w:lvl w:ilvl="0" w:tplc="9D506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0401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2AE12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4E83F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CAAE5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3885C6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25230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8A4904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05AF0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F94B01"/>
    <w:multiLevelType w:val="hybridMultilevel"/>
    <w:tmpl w:val="300208D6"/>
    <w:lvl w:ilvl="0" w:tplc="52E8E6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BB4CF57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6ED08B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BCB60D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94446A2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D048D85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84D097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711CE21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5ED225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1" w15:restartNumberingAfterBreak="0">
    <w:nsid w:val="66521A58"/>
    <w:multiLevelType w:val="hybridMultilevel"/>
    <w:tmpl w:val="B41081B4"/>
    <w:lvl w:ilvl="0" w:tplc="6A8A99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BFC0CF5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F542A5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948C5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11EE5CF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31FE5B8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F4ECCC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AE46583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F67EDD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2" w15:restartNumberingAfterBreak="0">
    <w:nsid w:val="669B16DD"/>
    <w:multiLevelType w:val="hybridMultilevel"/>
    <w:tmpl w:val="AD5E64DC"/>
    <w:lvl w:ilvl="0" w:tplc="D4100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2E6F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700AD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3893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8EC42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E26AD2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E812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9C80E5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CA2DAF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6B0BFE"/>
    <w:multiLevelType w:val="hybridMultilevel"/>
    <w:tmpl w:val="7D92E7E8"/>
    <w:lvl w:ilvl="0" w:tplc="3CD8983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7CA08A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8364121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57F840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64F0D64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A3EE584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E9A04C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A07C5C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35869DB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4" w15:restartNumberingAfterBreak="0">
    <w:nsid w:val="69B63D75"/>
    <w:multiLevelType w:val="hybridMultilevel"/>
    <w:tmpl w:val="C3984ACC"/>
    <w:lvl w:ilvl="0" w:tplc="E29AB0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772A0AE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2800F3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745A34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D4D204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78A4A63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000E64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3CBE971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6512D0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5" w15:restartNumberingAfterBreak="0">
    <w:nsid w:val="727A0C60"/>
    <w:multiLevelType w:val="hybridMultilevel"/>
    <w:tmpl w:val="CBA4D55A"/>
    <w:lvl w:ilvl="0" w:tplc="725492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78F4B9E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89202C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7DDE3E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68DE96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AB148CF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DCE2506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1E32A74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F788DA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6" w15:restartNumberingAfterBreak="0">
    <w:nsid w:val="74EF46B3"/>
    <w:multiLevelType w:val="hybridMultilevel"/>
    <w:tmpl w:val="0B82D826"/>
    <w:lvl w:ilvl="0" w:tplc="B23890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748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73288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D78DA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17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4E887E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046A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5F6C7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29246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65C0184"/>
    <w:multiLevelType w:val="hybridMultilevel"/>
    <w:tmpl w:val="84E487EE"/>
    <w:lvl w:ilvl="0" w:tplc="490A5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E2C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0AA9A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74A03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12CDA2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0B6A20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418F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4625CE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BA64B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3A2DC5"/>
    <w:multiLevelType w:val="hybridMultilevel"/>
    <w:tmpl w:val="307C907A"/>
    <w:lvl w:ilvl="0" w:tplc="12B4D6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ADC8612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B23E6AC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82A42C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AE5C8F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6002AD1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9634B4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6DCE120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99F6DB6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29" w15:restartNumberingAfterBreak="0">
    <w:nsid w:val="7D4C1120"/>
    <w:multiLevelType w:val="hybridMultilevel"/>
    <w:tmpl w:val="5A9EB3BE"/>
    <w:lvl w:ilvl="0" w:tplc="25744E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14B82ED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7218869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08B8DF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741499C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E8B880D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BD70EB8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5F12B9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EBBC27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30" w15:restartNumberingAfterBreak="0">
    <w:nsid w:val="7D9C225D"/>
    <w:multiLevelType w:val="hybridMultilevel"/>
    <w:tmpl w:val="029A20EC"/>
    <w:lvl w:ilvl="0" w:tplc="51663C4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F49EDB5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2500FA1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6EFC3B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E230EE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76227B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51AA54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645A508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3AC85C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31" w15:restartNumberingAfterBreak="0">
    <w:nsid w:val="7E560F6C"/>
    <w:multiLevelType w:val="hybridMultilevel"/>
    <w:tmpl w:val="BE7AD27C"/>
    <w:lvl w:ilvl="0" w:tplc="6248D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28F3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26D7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3B455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A88023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036608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2C5E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892696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F200D2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EA00E93"/>
    <w:multiLevelType w:val="hybridMultilevel"/>
    <w:tmpl w:val="8B06DEBA"/>
    <w:lvl w:ilvl="0" w:tplc="0F8A97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8482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709A3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F7AB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05AA6A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458E2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8DAE6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164D2B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B84C4F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31"/>
  </w:num>
  <w:num w:numId="5">
    <w:abstractNumId w:val="18"/>
  </w:num>
  <w:num w:numId="6">
    <w:abstractNumId w:val="9"/>
  </w:num>
  <w:num w:numId="7">
    <w:abstractNumId w:val="22"/>
  </w:num>
  <w:num w:numId="8">
    <w:abstractNumId w:val="12"/>
  </w:num>
  <w:num w:numId="9">
    <w:abstractNumId w:val="32"/>
  </w:num>
  <w:num w:numId="10">
    <w:abstractNumId w:val="26"/>
  </w:num>
  <w:num w:numId="11">
    <w:abstractNumId w:val="17"/>
  </w:num>
  <w:num w:numId="12">
    <w:abstractNumId w:val="5"/>
  </w:num>
  <w:num w:numId="13">
    <w:abstractNumId w:val="19"/>
  </w:num>
  <w:num w:numId="14">
    <w:abstractNumId w:val="27"/>
  </w:num>
  <w:num w:numId="15">
    <w:abstractNumId w:val="11"/>
  </w:num>
  <w:num w:numId="16">
    <w:abstractNumId w:val="23"/>
  </w:num>
  <w:num w:numId="17">
    <w:abstractNumId w:val="7"/>
  </w:num>
  <w:num w:numId="18">
    <w:abstractNumId w:val="0"/>
  </w:num>
  <w:num w:numId="19">
    <w:abstractNumId w:val="24"/>
  </w:num>
  <w:num w:numId="20">
    <w:abstractNumId w:val="2"/>
  </w:num>
  <w:num w:numId="21">
    <w:abstractNumId w:val="28"/>
  </w:num>
  <w:num w:numId="22">
    <w:abstractNumId w:val="6"/>
  </w:num>
  <w:num w:numId="23">
    <w:abstractNumId w:val="16"/>
  </w:num>
  <w:num w:numId="24">
    <w:abstractNumId w:val="14"/>
  </w:num>
  <w:num w:numId="25">
    <w:abstractNumId w:val="21"/>
  </w:num>
  <w:num w:numId="26">
    <w:abstractNumId w:val="10"/>
  </w:num>
  <w:num w:numId="27">
    <w:abstractNumId w:val="8"/>
  </w:num>
  <w:num w:numId="28">
    <w:abstractNumId w:val="29"/>
  </w:num>
  <w:num w:numId="29">
    <w:abstractNumId w:val="20"/>
  </w:num>
  <w:num w:numId="30">
    <w:abstractNumId w:val="25"/>
  </w:num>
  <w:num w:numId="31">
    <w:abstractNumId w:val="30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93"/>
    <w:rsid w:val="000F1BB4"/>
    <w:rsid w:val="002053B5"/>
    <w:rsid w:val="00222216"/>
    <w:rsid w:val="00242659"/>
    <w:rsid w:val="002A47FB"/>
    <w:rsid w:val="004C6EB0"/>
    <w:rsid w:val="00BD1693"/>
    <w:rsid w:val="00CD329F"/>
    <w:rsid w:val="00EC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F2135-DE02-4A8C-A291-BFDFC866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Pr>
      <w:b/>
      <w:bCs/>
    </w:rPr>
  </w:style>
  <w:style w:type="paragraph" w:customStyle="1" w:styleId="13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Times New Roman"/>
    </w:rPr>
  </w:style>
  <w:style w:type="paragraph" w:styleId="afc">
    <w:name w:val="Balloon Text"/>
    <w:basedOn w:val="a"/>
    <w:link w:val="afd"/>
    <w:uiPriority w:val="99"/>
    <w:semiHidden/>
    <w:unhideWhenUsed/>
    <w:rsid w:val="00CD3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CD3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Курасанова</dc:creator>
  <cp:keywords/>
  <dc:description/>
  <cp:lastModifiedBy>Склярова Марина Сергеевна</cp:lastModifiedBy>
  <cp:revision>6</cp:revision>
  <cp:lastPrinted>2025-06-03T07:38:00Z</cp:lastPrinted>
  <dcterms:created xsi:type="dcterms:W3CDTF">2025-06-02T17:44:00Z</dcterms:created>
  <dcterms:modified xsi:type="dcterms:W3CDTF">2025-06-03T07:39:00Z</dcterms:modified>
</cp:coreProperties>
</file>